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CD38EF-704A-42C1-8392-175299267B33}"/>
</file>

<file path=customXml/itemProps2.xml><?xml version="1.0" encoding="utf-8"?>
<ds:datastoreItem xmlns:ds="http://schemas.openxmlformats.org/officeDocument/2006/customXml" ds:itemID="{6E808273-54E6-450C-97C5-1D978C5FEFF9}"/>
</file>

<file path=customXml/itemProps3.xml><?xml version="1.0" encoding="utf-8"?>
<ds:datastoreItem xmlns:ds="http://schemas.openxmlformats.org/officeDocument/2006/customXml" ds:itemID="{8979DAFF-27FA-49CD-ABE8-F71CCE4973AA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5A9820D7-2340-414D-B84C-A0C301E2F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